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39" w:rsidRPr="00A63639" w:rsidRDefault="004734C5" w:rsidP="0003724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https://sun9-13.userapi.com/impg/kr9lkCGV_jDyFB76FxP293SwuD_zUDHEE-2Tvw/0lipjt6vPIs.jpg?size=810x1080&amp;quality=95&amp;sign=7d96178615650d605058fc58d080099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3.userapi.com/impg/kr9lkCGV_jDyFB76FxP293SwuD_zUDHEE-2Tvw/0lipjt6vPIs.jpg?size=810x1080&amp;quality=95&amp;sign=7d96178615650d605058fc58d080099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3639" w:rsidRPr="00A63639">
        <w:br w:type="page"/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Пояснительная записка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Разработана программа с учетом требований следующих нормативных документов: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1. Федеральный закон от 29.12.2012 № 273-ФЗ «Об образовании в РФ»;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2. Постановление Главного государственного санитарного врача РФ от 29 декабря 2010 г. N 189 "Об утверждении </w:t>
      </w:r>
      <w:proofErr w:type="spellStart"/>
      <w:r w:rsidRPr="00A63639">
        <w:rPr>
          <w:rFonts w:eastAsia="Times New Roman"/>
          <w:color w:val="000000"/>
          <w:u w:val="none"/>
          <w:lang w:eastAsia="ru-RU"/>
        </w:rPr>
        <w:t>СанПиН</w:t>
      </w:r>
      <w:proofErr w:type="spellEnd"/>
      <w:r w:rsidRPr="00A63639">
        <w:rPr>
          <w:rFonts w:eastAsia="Times New Roman"/>
          <w:color w:val="000000"/>
          <w:u w:val="none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 (с изменениями и дополнениями);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3. 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4. Приказ Министерства образования и науки Российской Федерации от 29.12.2014 № 1644 «О внесении изменений в приказ Министерства образования и науки Российской Федерации от 17 декабря 2010 г. N 1897 «Об утверждении федерального государственного образовательного стандарта основного общего образования»;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5. Письмо Минобрнауки РФ от 19.04.2011г. №03-255 «О введении ФГОС ООО»;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6. Письмо Минобрнауки РФ от 12.05.2011г. №03-296 «Об организации внеурочной деятельности при введении ФГОС ООО»;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7. 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8. Приказ Минобрнауки РФ от 28.12.2010 N 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9. Основная образовательная программа основного общего образования МБОУ </w:t>
      </w:r>
      <w:r>
        <w:rPr>
          <w:rFonts w:eastAsia="Times New Roman"/>
          <w:color w:val="000000"/>
          <w:u w:val="none"/>
          <w:lang w:eastAsia="ru-RU"/>
        </w:rPr>
        <w:t>«Сервинская ООШ» на 2023</w:t>
      </w:r>
      <w:r w:rsidRPr="00A63639">
        <w:rPr>
          <w:rFonts w:eastAsia="Times New Roman"/>
          <w:color w:val="000000"/>
          <w:u w:val="none"/>
          <w:lang w:eastAsia="ru-RU"/>
        </w:rPr>
        <w:t xml:space="preserve"> – 2024 гг.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10. Устав МБОУ </w:t>
      </w:r>
      <w:r>
        <w:rPr>
          <w:rFonts w:eastAsia="Times New Roman"/>
          <w:color w:val="000000"/>
          <w:u w:val="none"/>
          <w:lang w:eastAsia="ru-RU"/>
        </w:rPr>
        <w:t>«Сервинская ООШ»</w:t>
      </w:r>
      <w:r w:rsidRPr="00A63639">
        <w:rPr>
          <w:rFonts w:eastAsia="Times New Roman"/>
          <w:color w:val="000000"/>
          <w:u w:val="none"/>
          <w:lang w:eastAsia="ru-RU"/>
        </w:rPr>
        <w:t>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11. Календарного учебного графика и Учебного плана МБОУ </w:t>
      </w:r>
      <w:r>
        <w:rPr>
          <w:rFonts w:eastAsia="Times New Roman"/>
          <w:color w:val="000000"/>
          <w:u w:val="none"/>
          <w:lang w:eastAsia="ru-RU"/>
        </w:rPr>
        <w:t>«Сервинская ООШ» на 2023 – 2024</w:t>
      </w:r>
      <w:r w:rsidRPr="00A63639">
        <w:rPr>
          <w:rFonts w:eastAsia="Times New Roman"/>
          <w:color w:val="000000"/>
          <w:u w:val="none"/>
          <w:lang w:eastAsia="ru-RU"/>
        </w:rPr>
        <w:t xml:space="preserve"> учебный год.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Согласно действующему учебному плану МБОУ </w:t>
      </w:r>
      <w:r>
        <w:rPr>
          <w:rFonts w:eastAsia="Times New Roman"/>
          <w:color w:val="000000"/>
          <w:u w:val="none"/>
          <w:lang w:eastAsia="ru-RU"/>
        </w:rPr>
        <w:t>«Сервинская ООШ» на 2023-2024</w:t>
      </w:r>
      <w:r w:rsidRPr="00A63639">
        <w:rPr>
          <w:rFonts w:eastAsia="Times New Roman"/>
          <w:color w:val="000000"/>
          <w:u w:val="none"/>
          <w:lang w:eastAsia="ru-RU"/>
        </w:rPr>
        <w:t xml:space="preserve"> учебный год в рамках реализации ФГОС </w:t>
      </w:r>
      <w:r>
        <w:rPr>
          <w:rFonts w:eastAsia="Times New Roman"/>
          <w:color w:val="000000"/>
          <w:u w:val="none"/>
          <w:lang w:eastAsia="ru-RU"/>
        </w:rPr>
        <w:t>среднего</w:t>
      </w:r>
      <w:r w:rsidRPr="00A63639">
        <w:rPr>
          <w:rFonts w:eastAsia="Times New Roman"/>
          <w:color w:val="000000"/>
          <w:u w:val="none"/>
          <w:lang w:eastAsia="ru-RU"/>
        </w:rPr>
        <w:t xml:space="preserve"> общего образования, рабочая программа для внеурочного курса «Общая физическа</w:t>
      </w:r>
      <w:r>
        <w:rPr>
          <w:rFonts w:eastAsia="Times New Roman"/>
          <w:color w:val="000000"/>
          <w:u w:val="none"/>
          <w:lang w:eastAsia="ru-RU"/>
        </w:rPr>
        <w:t>я подготовка» предусматривает 34 учебных недель, 34</w:t>
      </w:r>
      <w:r w:rsidRPr="00A63639">
        <w:rPr>
          <w:rFonts w:eastAsia="Times New Roman"/>
          <w:color w:val="000000"/>
          <w:u w:val="none"/>
          <w:lang w:eastAsia="ru-RU"/>
        </w:rPr>
        <w:t xml:space="preserve"> часов в год 1 час в неделю.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lastRenderedPageBreak/>
        <w:t>Актуальность </w:t>
      </w:r>
      <w:r w:rsidRPr="00A63639">
        <w:rPr>
          <w:rFonts w:eastAsia="Times New Roman"/>
          <w:color w:val="000000"/>
          <w:u w:val="none"/>
          <w:lang w:eastAsia="ru-RU"/>
        </w:rPr>
        <w:t>данной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Целью</w:t>
      </w:r>
      <w:r w:rsidRPr="00A63639">
        <w:rPr>
          <w:rFonts w:eastAsia="Times New Roman"/>
          <w:color w:val="000000"/>
          <w:u w:val="none"/>
          <w:lang w:eastAsia="ru-RU"/>
        </w:rPr>
        <w:t> 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задач</w:t>
      </w:r>
      <w:r w:rsidRPr="00A63639">
        <w:rPr>
          <w:rFonts w:eastAsia="Times New Roman"/>
          <w:color w:val="000000"/>
          <w:u w:val="none"/>
          <w:lang w:eastAsia="ru-RU"/>
        </w:rPr>
        <w:t>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1. Образовательных: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Обучение технических и тактических приёмов спортивных игр, легкой атлетики, гимнастики с элементами акробатики;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Обучение простейшим организационным навыкам, необходимых понятий и теоретических сведений по физической культуре и спорту;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2. Воспитательных: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Воспитание привычки к занятиям физической культурой и спортом как коллективно, так и самостоятельно.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3. Оздоровительные: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Расширение двигательного опыта за счет овладения двигательными действиями;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Укрепление здоровья, физическое развитие и повышение работоспособности учащихся;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Воспитание индивидуальных психических черт и особенностей в общении и коллективном взаимодействии средствами и методами командно – игровой деятельности;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Создание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Обучение основам физиологии и гигиены физического воспитания, профилактики травматизма, коррекции телосложения.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 соответствии с социально-экономическими потребностями современного общества, его дальнейшего развития, целью физического вос</w:t>
      </w:r>
      <w:r w:rsidRPr="00A63639">
        <w:rPr>
          <w:rFonts w:eastAsia="Times New Roman"/>
          <w:color w:val="000000"/>
          <w:u w:val="none"/>
          <w:lang w:eastAsia="ru-RU"/>
        </w:rPr>
        <w:softHyphen/>
        <w:t>питания в общеобразовательном учреждении является содействие всестороннему развитию личности. Установка на всестороннее развитие личности пред</w:t>
      </w:r>
      <w:r w:rsidRPr="00A63639">
        <w:rPr>
          <w:rFonts w:eastAsia="Times New Roman"/>
          <w:color w:val="000000"/>
          <w:u w:val="none"/>
          <w:lang w:eastAsia="ru-RU"/>
        </w:rPr>
        <w:softHyphen/>
        <w:t xml:space="preserve">полагает овладение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учащимися основами физической культу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ры, слагаемыми которой являются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: крепкое здоровье, хорошее физическое развитие, оптимальный уровень двигательных способностей, знания и навыки в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области физической культуры; мотивы и освоенные способы (умения) осуществлять физкуль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турно-оздоровительную и спортивную деятельность.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ФОРМЫ И МЕТОДЫ ОРГАНИЗАЦИИ ЗАНЯТИЙ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Занятия проводятся на основе общих методических принципов. Используются методы наглядности (показ упражнения, демонстрация наглядных пособий), игровой и соревновательный. При изучении общеразвивающих упражнений, комплексов и игр показ должен быть целостным и образцовым, а объяснение – элементарным и простым.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Формы занятий: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 практическую части: ОФП и игры;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занятия оздоровительной направленности;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праздники;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соревнования;</w:t>
      </w:r>
    </w:p>
    <w:p w:rsid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эстафеты;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  <w:t>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Методы и приёмы учебно-воспитательного процесса: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информационно-познавательные (беседы, показ);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творческие (развивающие игры);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методы контроля и самоконтроля (самоанализ, тестирование, беседы).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ТРЕБОВАНИЯ К ЗАНЯТИЮ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Каждое учебно-тренировочное занятие имеет ясную целевую направленность, конкретные и четкие педагогические задачи, которые определяют содержание занятия, выбор методов, средств обучения и воспитания, способов организации учащихся. На каждом занятии решается, как правило, комплекс взаимосвязанных задач: образовательных, оздоровительных и воспитательных. Оздоровительные и воспитательные задачи проходят через весь процесс физического воспитания и решаются на каждом занятии.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Каждое тренировочное занятие является звеном системы учебно-тренировочного процесса,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увязанных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в логическую последовательность, построенных друг за другом и направленных на освоение учебного материала конкретной темы. В свою очередь темы согласованы между собой, определен объем учебного материала с учетом этапа обучения двигательным действиям, положительного и отрицательного переноса, подготовленности учащихся.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Важнейшим требованием учебно-тренировочного занятия является обеспечение дифференцированного и индивидуального подхода к учащимся с учетом их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Основой для планирования учебных занятий является материал по овладению двигательным умениям и навыкам.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Планируя материал прохождения программы, учитываются </w:t>
      </w:r>
      <w:proofErr w:type="spellStart"/>
      <w:proofErr w:type="gramStart"/>
      <w:r w:rsidRPr="00A63639">
        <w:rPr>
          <w:rFonts w:eastAsia="Times New Roman"/>
          <w:color w:val="000000"/>
          <w:u w:val="none"/>
          <w:lang w:eastAsia="ru-RU"/>
        </w:rPr>
        <w:t>климато-географические</w:t>
      </w:r>
      <w:proofErr w:type="spellEnd"/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особенности региона, состояние материально-технической базы учреждения. В неотрывной связи с планированием материала по развитию двигательных способностей планируются все компоненты нагрузки: объем работы, интенсивность, продолжительность и характер отдыха, число повторений упражнений. Нагрузка занятий повышается постепенно и волнообразно.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ОРГАНИЗАЦИЯ ВНЕУРОЧНОЙ ДЕЯТЕЛЬНОСТИ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Возраст детей, на которых р</w:t>
      </w:r>
      <w:r w:rsidR="00F50067">
        <w:rPr>
          <w:rFonts w:eastAsia="Times New Roman"/>
          <w:color w:val="000000"/>
          <w:u w:val="none"/>
          <w:lang w:eastAsia="ru-RU"/>
        </w:rPr>
        <w:t>ассчитана программа по ОФП 15-16</w:t>
      </w:r>
      <w:r w:rsidRPr="00A63639">
        <w:rPr>
          <w:rFonts w:eastAsia="Times New Roman"/>
          <w:color w:val="000000"/>
          <w:u w:val="none"/>
          <w:lang w:eastAsia="ru-RU"/>
        </w:rPr>
        <w:t xml:space="preserve"> лет.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Режим ра</w:t>
      </w:r>
      <w:r>
        <w:rPr>
          <w:rFonts w:eastAsia="Times New Roman"/>
          <w:color w:val="000000"/>
          <w:u w:val="none"/>
          <w:lang w:eastAsia="ru-RU"/>
        </w:rPr>
        <w:t>боты в неделю составляет 1 час.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Занятия проходят 1 раза в неделю.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  <w:t> </w:t>
      </w:r>
      <w:r w:rsidRPr="00A63639">
        <w:rPr>
          <w:rFonts w:eastAsia="Times New Roman"/>
          <w:bCs/>
          <w:color w:val="000000"/>
          <w:u w:val="none"/>
          <w:lang w:eastAsia="ru-RU"/>
        </w:rPr>
        <w:t>МАТЕРИАЛЬНО-ТЕХНИЧЕСКАЯ БАЗА</w:t>
      </w:r>
      <w:r w:rsidRPr="00A63639">
        <w:rPr>
          <w:rFonts w:eastAsia="Times New Roman"/>
          <w:color w:val="000000"/>
          <w:u w:val="none"/>
          <w:lang w:eastAsia="ru-RU"/>
        </w:rPr>
        <w:t xml:space="preserve"> </w:t>
      </w:r>
      <w:r w:rsidRPr="00A63639">
        <w:rPr>
          <w:rFonts w:eastAsia="Times New Roman"/>
          <w:bCs/>
          <w:color w:val="000000"/>
          <w:u w:val="none"/>
          <w:lang w:eastAsia="ru-RU"/>
        </w:rPr>
        <w:t>ДЛЯ РЕАЛИЗАЦИИ ПРОГРАММЫ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Место проведения: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Спортивная площадка;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Класс (для теоретических занятий);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Спортивный зал.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Инвентарь: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Волейбольные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Баскетбольные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Кегли или городки;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Скакалки;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Теннисные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Малые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Гимнастическая стенка;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Гимнастические скамейки;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Сетка волейбольная;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Щиты с корзинами;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Секундомер;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Маты;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Ракетки;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Обручи.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ОЖИДАЕМЫЕ РЕЗУЛЬТАТЫ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Личностными результатами</w:t>
      </w:r>
      <w:r w:rsidRPr="00A63639">
        <w:rPr>
          <w:rFonts w:eastAsia="Times New Roman"/>
          <w:color w:val="000000"/>
          <w:u w:val="none"/>
          <w:lang w:eastAsia="ru-RU"/>
        </w:rPr>
        <w:t> освоения учащимися содержания программы секции являются следующие умения: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оказывать бескорыстную помощь своим сверстникам, находить с ними общий язык и общие интересы.</w:t>
      </w:r>
      <w:r w:rsidRPr="00A63639">
        <w:rPr>
          <w:rFonts w:eastAsia="Times New Roman"/>
          <w:color w:val="000000"/>
          <w:u w:val="none"/>
          <w:lang w:eastAsia="ru-RU"/>
        </w:rPr>
        <w:br/>
      </w:r>
      <w:proofErr w:type="spellStart"/>
      <w:r w:rsidRPr="00A63639">
        <w:rPr>
          <w:rFonts w:eastAsia="Times New Roman"/>
          <w:b/>
          <w:bCs/>
          <w:color w:val="000000"/>
          <w:u w:val="none"/>
          <w:lang w:eastAsia="ru-RU"/>
        </w:rPr>
        <w:t>Метапредметными</w:t>
      </w:r>
      <w:proofErr w:type="spellEnd"/>
      <w:r w:rsidRPr="00A63639">
        <w:rPr>
          <w:rFonts w:eastAsia="Times New Roman"/>
          <w:b/>
          <w:bCs/>
          <w:color w:val="000000"/>
          <w:u w:val="none"/>
          <w:lang w:eastAsia="ru-RU"/>
        </w:rPr>
        <w:t xml:space="preserve"> результатами</w:t>
      </w:r>
      <w:r w:rsidRPr="00A63639">
        <w:rPr>
          <w:rFonts w:eastAsia="Times New Roman"/>
          <w:color w:val="000000"/>
          <w:u w:val="none"/>
          <w:lang w:eastAsia="ru-RU"/>
        </w:rPr>
        <w:t> (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познавательные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>, регулятивные, коммуникативные УУД)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находить ошибки при выполнении учебных заданий, отбирать способы их исправления;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оценивать красоту телосложения и осанки, сравнивать их с эталонными образцами;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Предметными результатами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представлять занятия в секции как средство укрепления здоровья, физического развития и физической подготовки человека;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выполнять акробатические и гимнастические комбинации на высоком техническом уровне, характеризовать признаки техничного исполнения;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</w:t>
      </w:r>
    </w:p>
    <w:p w:rsid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lastRenderedPageBreak/>
        <w:t>СОДЕРЖАНИЕ ПРОГРАММНОГО МАТЕРИАЛА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(Способы двигательной деятельности)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Подвижные игры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Подвижные игры являются незаменимым средством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решения комплекса взаимосвязанных задач воспитания личности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учащегося, развития его разнообразных двигательных способностей и совершенствования умений. Подвижные игры направлены на развитие творчества, воображения, внимания, воспитание инициативности, самостоятельности действий, выработку умения выполнять правила общественно порядка. Достижение этих задач в большей мере зависит от умелой организации и соблюдения методических требований к проведению, нежели к собственному содержанию игр.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  Многообразие двигательных действий, входящих в состав подвижных игр, оказывает комплексное воздействие на совершенствование координационных и кондиционных способностей (способностей к реакции, ориентированию в пространстве и во времени, перестроению двигательных действий, скоростных и скоростно-силовых способностей и др.).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С помощью игр закладываются основы игровой деятельности, направленные на совершенствование, прежде всего, естественных движений (ходьба, бег, прыжки, метания), элементарных игровых умений (ловля мяча, передачи, броски, удары по мячу) и технико-тактические взаимодействия (выбор места, взаимодействие с партнером, командой и соперником), необходимые при дальнейшем овладении спортивными играми.</w:t>
      </w:r>
      <w:proofErr w:type="gramEnd"/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В результате обучения учащиеся должны познакомиться со многими играми, что позволит воспитать интерес к игровой деятельности, умение самостоятельно подбирать и проводить их с товарищами в свободное время.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Обязательными условиями построения занятий по подвижным играм (в особенности с мячами) являются четкая организация и разумная дисциплина, основанная на точном соблюдении команд, указаний и распоряжений педагога; обеспечение преемственности при освоении новых упражнений; строгое соблюдение дидактичёских принципов. После освоения базового ва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рианта игры рекомендуется варьировать условия проведения, число участников, инвентарь, время проведения игры и др.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Легкоатлетические упражнения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Бег, прыжки и метания, будучи естественными видами движений, занимают одно из главных мест в физическом воспитании. Применяя эти упражнения, педагог решает две задачи. Во-первых, он содействует освоению основ рациональной техники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движении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. Во-вторых, обогащает двигательный опыт ребенка, используя для этого всевозможные варианты упражнений и условия их проведения. В результате учащиеся приобретают основы умений бега на короткие и на длинные дистанции, прыжков в длину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и в высоту с места и с разбега, метаний в цель и на дальность. Бег, прыжки и метания отличаются большой вариативностью выполнения и применения в различных условиях.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 После усвоения основ легкоатлетических упражнений в беге, прыжках и метаниях начинается систематическое обучение спринтерскому бегу, бегу на средние и длинные дистанции, прыжкам в длину и в высоту с разбега, метаниям.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Данный материал содействует дальнейшему развитию и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совершенствованию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прежде всего кондиционных (скоростных, скоростно-силовых, гибкости и выносливости) и координационных способностей (к реакциям, дифференцированию временных, пространственных и силовых параметров движений, ориентированию в пространстве, чувству ритма). Основным моментом в обучении легкоатлетическим упражнениям является освоение согласования движений разбега с отталкива</w:t>
      </w:r>
      <w:r w:rsidRPr="00A63639">
        <w:rPr>
          <w:rFonts w:eastAsia="Times New Roman"/>
          <w:color w:val="000000"/>
          <w:u w:val="none"/>
          <w:lang w:eastAsia="ru-RU"/>
        </w:rPr>
        <w:softHyphen/>
        <w:t xml:space="preserve">нием и разбега с выпуском снаряда. После стабильного выполнения разучиваемых двигательных действий следует разнообразить условия выполнения, дальность разбега в метаниях и прыжках, вес и форму метательных снарядов, способы преодоления естественных и искусственных препятствий и т. д. для обеспечения </w:t>
      </w:r>
      <w:proofErr w:type="spellStart"/>
      <w:r w:rsidRPr="00A63639">
        <w:rPr>
          <w:rFonts w:eastAsia="Times New Roman"/>
          <w:color w:val="000000"/>
          <w:u w:val="none"/>
          <w:lang w:eastAsia="ru-RU"/>
        </w:rPr>
        <w:t>прикладности</w:t>
      </w:r>
      <w:proofErr w:type="spellEnd"/>
      <w:r w:rsidRPr="00A63639">
        <w:rPr>
          <w:rFonts w:eastAsia="Times New Roman"/>
          <w:color w:val="000000"/>
          <w:u w:val="none"/>
          <w:lang w:eastAsia="ru-RU"/>
        </w:rPr>
        <w:t xml:space="preserve"> и дальнейшего развития координационных и кондиционных способностей.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Следует учесть, что одно и то же упражнение можно использовать как для обучения двигательному умению, так и для развития координационных и кондиционных способностей. Их преимущественное воздействие на умения или способности определяется только методической направленностью.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Легкоатлетические упражнения рекомендуется проводить преимущественно в игровой и соревновательной форме, которые должны доставлять детям радость и удовольствие. Систематическое проведение этих упражнений позволяет овладеть учащимися простейшими формами соревнований и правилами, а грамотная объективная оценка их достижений является стимулом для дальнейшего улучшения результатов. Все это в совокупности содействует формированию морально-волевых качеств личности ребенка, таких, как дисциплинированность, уверенность, выдержка, честность, чувство товарищества и коллективизма.</w:t>
      </w:r>
      <w:r w:rsidRPr="00A63639">
        <w:rPr>
          <w:rFonts w:eastAsia="Times New Roman"/>
          <w:color w:val="000000"/>
          <w:u w:val="none"/>
          <w:lang w:eastAsia="ru-RU"/>
        </w:rPr>
        <w:br/>
        <w:t> 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Спортивные игры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По своему воздействию спортивная игра является наиболее комплексным и универсальным средством развития ребенка.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развития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прежде всего координационных (ориентирование в пространстве, быстрота реакции и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перестроения двигательных действий, точность дифференцирования и оценивания пространственных, временных и силовых параметров движений, способность к согласованию отдельных движений в целостные комбинации) и кондиционных способностей (силовых, выносливости, скоростных), а также всевозможных сочетаний этих групп способностей.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Одновременно материал по спортивным играм оказывает многостороннее влияние на развитие психических процессов учащегося (восприятие, внимание, память, мышление, воображение и др.), воспитание нравственных и волевых качеств, что создается необходимостью соблюдения правил и условий игровых упражнений и самой игры, согласование индивидуальных, групповых и командных взаимодействий партнеров и соперников.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  В учебных группах необходимо стремиться учить детей согласовывать индивидуальные и простые командные технико-тактические взаимодействия (с мячом и без мяча) в нападении и в защите, начиная с применения подобранных для этой цели подвижных игр (типа «Борьба за мяч», «Мяч капитану») и специальных, постепенно усложняющихся игровых упражнений (форм).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 Игровые упражнения и формы занятий создают благоприятные условия для самостоятельного выполнения заданий с мячом, реализации на практике индивидуального и дифференцированного подхода к учащимся, имеющим существенные индивидуальные различия (способности). В этой связи особой заботой следует окружить детей со слабой игровой подготовкой, активно включая их в ход осуществления разнообразных видов игровой деятельности.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 Среди способов организации учащихся на занятиях целесообразно чаще применять метод круговой тренировки, включая на станциях упражнения с мячом, направленные на развитие конкретных координационных и кондиционных способностей, совершенствование основных приемов.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 Материал игр является прекрасным средством и методом формирования потребностей, интересов и эмоций учащихся. В этой связи обучение игровому материалу содействует самосто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ятельным занятиям спортивными играми.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 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Задачи: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 - укрепление здоровья, улучшение осанки, профилактика плоскостопия; содействие гармоническому физическому развитию; выработка устойчивости к неблагоприятным условиям внешней среды; - овладение школой движений;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 xml:space="preserve"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кондиционных (скоростных, скоростно-силовых, выносливости и гибкости) способностей;</w:t>
      </w:r>
      <w:proofErr w:type="gramEnd"/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 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 содействие развитию психических процессов (представления, памяти, мышления и др.) в ходе двигательной деятельности.</w:t>
      </w:r>
    </w:p>
    <w:p w:rsidR="008B158C" w:rsidRPr="00A63639" w:rsidRDefault="008B158C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АНАЛИЗ РЕЗУЛЬТАТОВ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освоения программы осуществляется следующими способами: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текущий контроль знаний в процессе устного опроса;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текущий контроль умений и навыков в процессе наблюдения за индивидуальной работой;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тематический контроль умений и навыков после изучения тем;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взаимоконтроль;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самоконтроль;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итоговый контроль умений и навыков;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proofErr w:type="gramStart"/>
      <w:r w:rsidRPr="00A63639">
        <w:rPr>
          <w:rFonts w:eastAsia="Times New Roman"/>
          <w:color w:val="000000"/>
          <w:u w:val="none"/>
          <w:lang w:eastAsia="ru-RU"/>
        </w:rPr>
        <w:t>контроль за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состоянием здоровья: количество острых заболеваний в год, показатели физического развития, группа здоровья.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КОНТРОЛЬНО-ИЗМЕРИТЕЛЬНЫЕ МАТЕРИАЛЫ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Основные требования к уровню подготовленности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Тестирование физической подготовленности позволяет с помощью контрольных упражнений (тестов) – стандартизированных по содержанию, форме и условиям выполнения двигательных действий – определить уровень развития отдельных физических качеств, т.е. уровень физической подготовленности занимающихся.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Перечисленные ниже контрольные упражнения (тесты) очень показательны, на их основе делают соответствующие выводы и при необходимости вносятся коррективы в тренировочный процесс. Например, если уровень физической подготовленности занимающихся не повышается или становится ниже, то необходимо пересмотреть содержание, методику занятий, физические нагрузки.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lastRenderedPageBreak/>
        <w:t>Тематический план</w:t>
      </w: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7"/>
        <w:gridCol w:w="3711"/>
        <w:gridCol w:w="1227"/>
        <w:gridCol w:w="2099"/>
        <w:gridCol w:w="2186"/>
      </w:tblGrid>
      <w:tr w:rsidR="00A63639" w:rsidRPr="00A63639" w:rsidTr="00A63639">
        <w:tc>
          <w:tcPr>
            <w:tcW w:w="6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№ </w:t>
            </w:r>
            <w:proofErr w:type="spellStart"/>
            <w:proofErr w:type="gram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spellEnd"/>
            <w:proofErr w:type="gramEnd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/</w:t>
            </w:r>
            <w:proofErr w:type="spell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spellEnd"/>
          </w:p>
        </w:tc>
        <w:tc>
          <w:tcPr>
            <w:tcW w:w="35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Наименование темы</w:t>
            </w:r>
          </w:p>
        </w:tc>
        <w:tc>
          <w:tcPr>
            <w:tcW w:w="5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Количество часов</w:t>
            </w:r>
          </w:p>
        </w:tc>
      </w:tr>
      <w:tr w:rsidR="00A63639" w:rsidRPr="00A63639" w:rsidTr="00A6363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Теоретические занятия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Практические занятия</w:t>
            </w:r>
          </w:p>
        </w:tc>
      </w:tr>
      <w:tr w:rsidR="00A63639" w:rsidRPr="00A63639" w:rsidTr="00A63639">
        <w:trPr>
          <w:trHeight w:val="10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105" w:lineRule="atLeast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Вводное занятие. Ознакомление с правилами соревнований.</w:t>
            </w:r>
          </w:p>
        </w:tc>
        <w:tc>
          <w:tcPr>
            <w:tcW w:w="11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  <w:p w:rsidR="00A63639" w:rsidRPr="00A63639" w:rsidRDefault="00A63639" w:rsidP="00A63639">
            <w:pPr>
              <w:spacing w:after="150" w:line="105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  <w:p w:rsidR="00A63639" w:rsidRPr="00A63639" w:rsidRDefault="00A63639" w:rsidP="00A63639">
            <w:pPr>
              <w:spacing w:after="150" w:line="105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105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</w:tr>
      <w:tr w:rsidR="00A63639" w:rsidRPr="00A63639" w:rsidTr="00A63639">
        <w:trPr>
          <w:trHeight w:val="42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ОФП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A63639">
        <w:trPr>
          <w:trHeight w:val="21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Лёгкая атлетика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</w:tr>
      <w:tr w:rsidR="00A63639" w:rsidRPr="00A63639" w:rsidTr="00A63639">
        <w:trPr>
          <w:trHeight w:val="22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Подвижные игры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</w:tr>
      <w:tr w:rsidR="00A63639" w:rsidRPr="00A63639" w:rsidTr="00A63639">
        <w:trPr>
          <w:trHeight w:val="106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Спортивные игры:</w:t>
            </w:r>
          </w:p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Футбол</w:t>
            </w:r>
          </w:p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Волейбол</w:t>
            </w:r>
          </w:p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Баскетбол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  <w:p w:rsidR="00A63639" w:rsidRPr="00A63639" w:rsidRDefault="00A63639" w:rsidP="008B158C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8B158C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</w:tr>
      <w:tr w:rsidR="00A63639" w:rsidRPr="00A63639" w:rsidTr="00A63639">
        <w:trPr>
          <w:trHeight w:val="43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Контрольные упражнения и спортивные соревнования.</w:t>
            </w:r>
          </w:p>
        </w:tc>
        <w:tc>
          <w:tcPr>
            <w:tcW w:w="5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Согласно плану спортивных мероприятий.</w:t>
            </w:r>
          </w:p>
        </w:tc>
      </w:tr>
      <w:tr w:rsidR="00A63639" w:rsidRPr="00A63639" w:rsidTr="00A63639">
        <w:trPr>
          <w:trHeight w:val="9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90" w:lineRule="atLeast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ИТОГО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90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3</w:t>
            </w:r>
            <w:r w:rsidR="008B158C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90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90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33</w:t>
            </w:r>
          </w:p>
        </w:tc>
      </w:tr>
    </w:tbl>
    <w:p w:rsidR="00A63639" w:rsidRPr="00A63639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Календарно</w:t>
      </w:r>
      <w:r w:rsidR="00F50067">
        <w:rPr>
          <w:rFonts w:eastAsia="Times New Roman"/>
          <w:b/>
          <w:bCs/>
          <w:color w:val="000000"/>
          <w:u w:val="none"/>
          <w:lang w:eastAsia="ru-RU"/>
        </w:rPr>
        <w:t xml:space="preserve">-тематическое планирование 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9</w:t>
      </w:r>
      <w:r w:rsidR="00F50067">
        <w:rPr>
          <w:rFonts w:eastAsia="Times New Roman"/>
          <w:b/>
          <w:bCs/>
          <w:color w:val="000000"/>
          <w:u w:val="none"/>
          <w:lang w:eastAsia="ru-RU"/>
        </w:rPr>
        <w:t xml:space="preserve"> класса</w:t>
      </w:r>
    </w:p>
    <w:p w:rsidR="00A63639" w:rsidRPr="00A63639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</w:p>
    <w:tbl>
      <w:tblPr>
        <w:tblW w:w="10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5"/>
        <w:gridCol w:w="6651"/>
        <w:gridCol w:w="1820"/>
        <w:gridCol w:w="1129"/>
      </w:tblGrid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№ </w:t>
            </w:r>
            <w:proofErr w:type="spell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п\</w:t>
            </w:r>
            <w:proofErr w:type="gram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Тема занятия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Дата проведения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факт</w:t>
            </w: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ОФП. Система планирования тренировки спортсмена: многолетнее, годичное, оперативное планирование. Индивидуальный план тренировки.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Лёгкая атлетика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2.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Техника безопасности. Высокий старт до 10-15 </w:t>
            </w: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метров.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Бег с ускорением 30-40 метров. Встречная эстафета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Высокий старт 10-15 метров. Бег с ускорением 40-50 метров. Эстафеты.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Бег на результат 60 метров. Развитие скоростных качеств.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Равномерный бег до 12 минут. Развитие выносливости. Чередование ходьбы и бега.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Специальные беговые упражнения. Медленный длительный бег. Кросс 1000 метров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Развитие скоростно-силовых качеств. Специальные прыжковые упражнения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Футбол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09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4D375A" w:rsidP="004D375A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Техника безопасности во время занятий 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футболом</w:t>
            </w: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. Перемещения и остановки.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и обводка. Отбор мяча. Вбрасывание мяча. Игра вратаря.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8B158C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и обводка. Отбор мяча. Вбрасывание мяча. Игра вратаря.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8B158C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внутренней частью стопы в парах.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внутренней частью стопы в парах.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внешней частью стопы. Ведение и обводка.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внешней частью стопы. Ведение и обводка.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Баскетбол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баскетболом. Перемещения и остановки.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Бросок мяча в кольцо в прыжке двумя руками.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Подвижные игры с мячом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4D375A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Техника безопасности во время занятий подвижными играми. Пионербол. Ловля мяча, </w:t>
            </w: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летящего на средней высоте.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20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Пионербол с элементами волейбола. Ловля мяча, летящего высоко.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Волейбол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волейболом. Приём мяча. Передача мяча.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Приём мяча. Передача мяча. Подача мяча. Прием подачи двумя руками снизу.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Подача мяча. Прием подачи двумя руками снизу. Нападающий удар. Блокирование мяча.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Баскетбол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баскетболом. Ведение мяча правой и левой рукой. Отвлекающие приемы.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баскетболом. Ведение мяча правой и левой рукой. Отвлекающие приемы.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мяча правой и левой рукой. Броски мяча в кольцо. Овладение мячом и противодействия. Индивидуальные тактические действия в нападении и защите.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мяча правой и левой рукой. Броски мяча в кольцо. Овладение мячом и противодействия. Индивидуальные тактические действия в нападении и защите.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Подвижные игры с мячом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подвижными играми. Перестрелка с 1 мячом.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Перестрелка с 2 и 3 мячами.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Салки с мячом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Волейбол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Верхние и нижние передачи мяча 2-мя руками. Нападающий удар.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Передача мяча у сетки. Нападающий удар. Блокирование мяча. Учебно-тренировочная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3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0516EB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Передача мяча у сетки. Нападающий удар. Блокирование мяча. Учебно-тренировочная игра. 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0516EB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Передача мяча у сетки. Нападающий удар. Блокирование мяча. Учебно-тренировочная игра. Соревнования.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0516EB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</w:r>
    </w:p>
    <w:p w:rsidR="000516EB" w:rsidRDefault="000516EB">
      <w:pPr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color w:val="000000"/>
          <w:u w:val="none"/>
          <w:lang w:eastAsia="ru-RU"/>
        </w:rPr>
        <w:br w:type="page"/>
      </w:r>
    </w:p>
    <w:p w:rsidR="000516EB" w:rsidRPr="00CF6079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u w:val="none"/>
          <w:lang w:eastAsia="ru-RU"/>
        </w:rPr>
      </w:pPr>
      <w:r w:rsidRPr="00CF6079">
        <w:rPr>
          <w:rFonts w:eastAsia="Times New Roman"/>
          <w:b/>
          <w:bCs/>
          <w:color w:val="000000"/>
          <w:u w:val="none"/>
          <w:lang w:eastAsia="ru-RU"/>
        </w:rPr>
        <w:lastRenderedPageBreak/>
        <w:t xml:space="preserve">Список литературы 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     1. В.И. Лях. Физическая культура. 5 - 9 классы. Примерные рабочие программы. Предметная линия учебников В.И. Ляха</w:t>
      </w:r>
      <w:proofErr w:type="gramStart"/>
      <w:r w:rsidRPr="000516EB">
        <w:rPr>
          <w:rFonts w:eastAsia="Times New Roman"/>
          <w:color w:val="000000"/>
          <w:u w:val="none"/>
          <w:lang w:eastAsia="ru-RU"/>
        </w:rPr>
        <w:t xml:space="preserve">., </w:t>
      </w:r>
      <w:proofErr w:type="gramEnd"/>
      <w:r w:rsidRPr="000516EB">
        <w:rPr>
          <w:rFonts w:eastAsia="Times New Roman"/>
          <w:color w:val="000000"/>
          <w:u w:val="none"/>
          <w:lang w:eastAsia="ru-RU"/>
        </w:rPr>
        <w:t xml:space="preserve">М.Я. 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Виленского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>. Изд. 7-е. Серия «Физическое воспитание» - М: «Просвещение» 2019.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 xml:space="preserve">    2. </w:t>
      </w:r>
      <w:proofErr w:type="gramStart"/>
      <w:r w:rsidRPr="000516EB">
        <w:rPr>
          <w:rFonts w:eastAsia="Times New Roman"/>
          <w:color w:val="000000"/>
          <w:u w:val="none"/>
          <w:lang w:eastAsia="ru-RU"/>
        </w:rPr>
        <w:t xml:space="preserve">Физическая  культура.  5-7 классы:  учебник для общеобразовательных учреждений/ (под редакцией М.Я. 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Виленского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 xml:space="preserve"> - Москва:</w:t>
      </w:r>
      <w:proofErr w:type="gramEnd"/>
      <w:r w:rsidRPr="000516EB">
        <w:rPr>
          <w:rFonts w:eastAsia="Times New Roman"/>
          <w:color w:val="000000"/>
          <w:u w:val="none"/>
          <w:lang w:eastAsia="ru-RU"/>
        </w:rPr>
        <w:t xml:space="preserve">        «Просвещение», 2016.  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   3. Физическая   культура.  8-9 классы: учебник  для  общеобразовательных  учреждений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  В.И. Лях - Москва: «Просвещение», 2018.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 xml:space="preserve">   4.Внеурочная деятельность. Подготовка к сдаче нормативов ГТО: Учебное пособие для общеобразовательных организаций/ В.С. Кузнецов, 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Г.А.Колодницкий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>. – 3-е изд. – М.:   Просвещение, 2018.</w:t>
      </w:r>
    </w:p>
    <w:p w:rsidR="000516EB" w:rsidRPr="000516EB" w:rsidRDefault="000516EB" w:rsidP="000516EB">
      <w:pPr>
        <w:shd w:val="clear" w:color="auto" w:fill="FFFFFF"/>
        <w:spacing w:after="0" w:line="240" w:lineRule="auto"/>
        <w:ind w:firstLine="142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5. Сайт учителя физической культуры. Планирование уроков физической культуры. Форум учителей. http: //  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www.trainer.hl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>. ru</w:t>
      </w:r>
    </w:p>
    <w:p w:rsidR="00A63639" w:rsidRPr="00A63639" w:rsidRDefault="000516EB" w:rsidP="000516EB">
      <w:pPr>
        <w:shd w:val="clear" w:color="auto" w:fill="FFFFFF"/>
        <w:spacing w:after="0" w:line="240" w:lineRule="auto"/>
        <w:ind w:firstLine="142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6.  Ведущий образовательный портал России Инфоурок: </w:t>
      </w:r>
      <w:hyperlink r:id="rId6" w:history="1">
        <w:r w:rsidRPr="000516EB">
          <w:rPr>
            <w:rFonts w:eastAsia="Times New Roman"/>
            <w:color w:val="0000FF"/>
            <w:u w:val="single"/>
            <w:lang w:eastAsia="ru-RU"/>
          </w:rPr>
          <w:t>https://infourok.ru/obrazovatelnaya-programma-dopolnitelnogo-obrazovaniya-obschaya-fizicheskaya-podgotovka-s-uchyotom-programmnogo-materiala-2732484.html</w:t>
        </w:r>
      </w:hyperlink>
      <w:r w:rsidRPr="000516EB">
        <w:rPr>
          <w:rFonts w:eastAsia="Times New Roman"/>
          <w:color w:val="000000"/>
          <w:u w:val="none"/>
          <w:lang w:eastAsia="ru-RU"/>
        </w:rPr>
        <w:t>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ind w:firstLine="142"/>
        <w:rPr>
          <w:rFonts w:eastAsia="Times New Roman"/>
          <w:color w:val="000000"/>
          <w:u w:val="none"/>
          <w:lang w:eastAsia="ru-RU"/>
        </w:rPr>
      </w:pPr>
    </w:p>
    <w:p w:rsidR="00EE485E" w:rsidRPr="00A63639" w:rsidRDefault="00EE485E"/>
    <w:sectPr w:rsidR="00EE485E" w:rsidRPr="00A63639" w:rsidSect="00EE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9C2"/>
    <w:multiLevelType w:val="multilevel"/>
    <w:tmpl w:val="99A6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C517F"/>
    <w:multiLevelType w:val="multilevel"/>
    <w:tmpl w:val="8DFC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B5D0A"/>
    <w:multiLevelType w:val="multilevel"/>
    <w:tmpl w:val="2284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E0284"/>
    <w:multiLevelType w:val="multilevel"/>
    <w:tmpl w:val="54A6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00164D"/>
    <w:multiLevelType w:val="multilevel"/>
    <w:tmpl w:val="5EAE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40E1C"/>
    <w:multiLevelType w:val="multilevel"/>
    <w:tmpl w:val="ED36D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56379"/>
    <w:multiLevelType w:val="multilevel"/>
    <w:tmpl w:val="DB66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764A3"/>
    <w:multiLevelType w:val="multilevel"/>
    <w:tmpl w:val="125C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639"/>
    <w:rsid w:val="0003724E"/>
    <w:rsid w:val="000516EB"/>
    <w:rsid w:val="00424FF2"/>
    <w:rsid w:val="004734C5"/>
    <w:rsid w:val="004D375A"/>
    <w:rsid w:val="0062429A"/>
    <w:rsid w:val="008B158C"/>
    <w:rsid w:val="00920FE2"/>
    <w:rsid w:val="00940228"/>
    <w:rsid w:val="00A63639"/>
    <w:rsid w:val="00C56E71"/>
    <w:rsid w:val="00C67873"/>
    <w:rsid w:val="00D01BA8"/>
    <w:rsid w:val="00EE485E"/>
    <w:rsid w:val="00F5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639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table" w:styleId="a4">
    <w:name w:val="Table Grid"/>
    <w:basedOn w:val="a1"/>
    <w:uiPriority w:val="59"/>
    <w:rsid w:val="00037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obrazovatelnaya-programma-dopolnitelnogo-obrazovaniya-obschaya-fizicheskaya-podgotovka-s-uchyotom-programmnogo-materiala-2732484.html&amp;sa=D&amp;source=editors&amp;ust=1614710984060000&amp;usg=AOvVaw0eMqkII-azdCwFeWoGQnZ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3724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2023-08-29T13:59:00Z</dcterms:created>
  <dcterms:modified xsi:type="dcterms:W3CDTF">2023-11-10T08:08:00Z</dcterms:modified>
</cp:coreProperties>
</file>